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Московский инженерно-физический институт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(национальный исследовательский ядерный университет)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Кафедра физики элементарных частиц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Реферат на тему: «Суперсимметрия»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b w:val="1"/>
          <w:sz w:val="24"/>
          <w:szCs w:val="24"/>
          <w:rtl w:val="0"/>
        </w:rPr>
        <w:t xml:space="preserve">Студент: Старостин В.И.</w:t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Группа: Т01-40м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2015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1.Ведение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Суперсимметрия (симметрия Ферми-Бозе) - симметрия между фермионами и бозонами. Основная модель физики высоких энергий - Стандартная модель (СМ) - не является суперсимметричной. Основана на SU(2)⊗U(1) локальной калибровочной группе электрослабого взаимодействия и SU(3)</w:t>
      </w:r>
      <w:r w:rsidDel="00000000" w:rsidR="00000000" w:rsidRPr="00000000">
        <w:rPr>
          <w:vertAlign w:val="subscript"/>
          <w:rtl w:val="0"/>
        </w:rPr>
        <w:t xml:space="preserve">c </w:t>
      </w:r>
      <w:r w:rsidDel="00000000" w:rsidR="00000000" w:rsidRPr="00000000">
        <w:rPr>
          <w:rtl w:val="0"/>
        </w:rPr>
        <w:t xml:space="preserve">симметрии КХД, стандартная модель не противоречит наличию суперсимметрии. Однако, СМ нуждается в расширении, т</w:t>
      </w:r>
      <w:r w:rsidDel="00000000" w:rsidR="00000000" w:rsidRPr="00000000">
        <w:rPr>
          <w:highlight w:val="white"/>
          <w:rtl w:val="0"/>
        </w:rPr>
        <w:t xml:space="preserve">ак как в ней имеют место быть</w:t>
      </w:r>
      <w:r w:rsidDel="00000000" w:rsidR="00000000" w:rsidRPr="00000000">
        <w:rPr>
          <w:rtl w:val="0"/>
        </w:rPr>
        <w:t xml:space="preserve">  квадратичная расходимость радиационных петлевых поправок к массе хиггсовского поля, нарушение CP-инвариантности в КХД, наличие кандидатов на роль темной материи (ТМ) и т.д. и т.п.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2. Инфляция, бариосинтез и основные кандидаты на роль ТМ в рамках суперсимметричной </w:t>
        <w:tab/>
        <w:t xml:space="preserve">модели.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Инфляция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Первая попытка построить модель раздувающейся Вселенной, нацеленная на решение ряда космологических проблем, на основе физического скалярного поля была предпринята А. Гусом в 1981 году. Однако из-за привязанности к фазовому переходу Великого Объединения (ВО) ей были присущи неразрешимые проблемы: проблема образования сильных неоднородностей в результате инфляции, прежние вопросы происхождения в отношении горячей доинфляционной стадии. Было сформулировано требование к свойствам скалярного поля, ответственного за инфляцию – поле инфлантона (фундаментальное скалярное поле), где ключевое значение имеет форма его потенциала. Эти требования являются физической основой инфляционной космологии.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модели SUSY кандидаты на роль инфлатона претендуют s-нейтрино и комбинации хиггсовских бозонов.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Бариосинтез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Модель бариосинтеза была предложена Афлеком и Дайном в 1985 г. Согласно этой модели </w:t>
      </w:r>
      <w:r w:rsidDel="00000000" w:rsidR="00000000" w:rsidRPr="00000000">
        <w:rPr>
          <w:rtl w:val="0"/>
        </w:rPr>
        <w:t xml:space="preserve">в ранней Вселенной мог существовать первичный конденсат скалярных кварков. Скалярные кварки, распадаясь на обычные кварки, создавали затем избыток барионов.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СМ несохранение барионов из-за электрослабых взаимодействий имеет место при очень высоких температурах. Чтобы электрослабый бариосинтез был возможен, СМ должна содержать значительно большее число хиггсовских бозонов или включать несохранение лептонного числа. Последнее может быть связано с механизмом генерации майорановской массы нейтрино.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суперсимметричной модели потенциал Лагранжиана </w:t>
        <w:tab/>
        <w:t xml:space="preserve">составляется исходя из общих требований (требований суперсимметрии, калибровочных симметрий, B-L симметрии), допускающих нарушение B и L в отдельности. Данный потенциал до нарушения суперсимметрии практически не зависит от некоторых комбинаций полей скалярных кварков. Такие комбинации получили название полей «плоских направлений» или «долин». В суперсимметричных реализациях моделей инфляции суперсимметрия нарушается по окончании инфляции и поля долин приобретают массу. Т.е. значения поля долины становятся энергетически неэквивалентными, и их потенциал приобретает минимум. Поля долин начинают осциллировать вокруг минимума. Если поле долины несло в себе барионный заряд, то энергия этих колебаний переходит в энергию бозе-конденсата скалярных кварков с ненулевым барионным зарядом. Впоследствии бозе- конденсат распадается на обычные кварки, давая барионный избыток.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Кандидаты в Темную материю в рамках суперсимметричной модели.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Одной из наиболее популярных категорий кандидатов на роль частиц темной материи (ТМ) являются вимпы (название “вимпы” образовано от англ. ааббревиатуры WIMPs-Weakly Interacting Massive Particles), родившиеся вскоре после Большого Взрыва. Термином “вимп” принято называть класс частиц, характеризуемых, прежде всего, такими значениями массы и сечения аннигиляции, которые позволяют им выйти из равновесия в ранней Вселенной с плотностью, характерной для ТМ. Вимпы особенно привлекательны как кандидаты в ТМ ввиду ряда очевидных достоинств. Во-первых, появление вимпов в теоретической физике частиц мотивированно проблемой нарушения электрослабой симметрии. Во-вторых, согласно стандартным космологическим предположениям, их тепловая реликтовая распространенность естественным образом совпадает с той, которая требуется для ТМ. Наконец, требование достаточно эффективной аннигиляции вимпов (для обеспечения соответствующей реликтовой плотности) означает, что взаимодействие вимпов с материей является достаточно сильным для того, чтобы они могли быть обнаружены в прямых экспериментах.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Оценки для современной плотности вимпов дают: </w:t>
      </w:r>
      <w:r w:rsidDel="00000000" w:rsidR="00000000" w:rsidRPr="00000000">
        <w:rPr>
          <w:i w:val="1"/>
          <w:rtl w:val="0"/>
        </w:rPr>
        <w:t xml:space="preserve">Ω</w:t>
      </w:r>
      <w:r w:rsidDel="00000000" w:rsidR="00000000" w:rsidRPr="00000000">
        <w:rPr>
          <w:i w:val="1"/>
          <w:vertAlign w:val="subscript"/>
          <w:rtl w:val="0"/>
        </w:rPr>
        <w:t xml:space="preserve">WIMP</w:t>
      </w:r>
      <w:r w:rsidDel="00000000" w:rsidR="00000000" w:rsidRPr="00000000">
        <w:rPr>
          <w:i w:val="1"/>
          <w:rtl w:val="0"/>
        </w:rPr>
        <w:t xml:space="preserve">h</w:t>
      </w:r>
      <w:r w:rsidDel="00000000" w:rsidR="00000000" w:rsidRPr="00000000">
        <w:rPr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 ≈ (3*10</w:t>
      </w:r>
      <w:r w:rsidDel="00000000" w:rsidR="00000000" w:rsidRPr="00000000">
        <w:rPr>
          <w:i w:val="1"/>
          <w:vertAlign w:val="superscript"/>
          <w:rtl w:val="0"/>
        </w:rPr>
        <w:t xml:space="preserve">-27</w:t>
      </w:r>
      <w:r w:rsidDel="00000000" w:rsidR="00000000" w:rsidRPr="00000000">
        <w:rPr>
          <w:i w:val="1"/>
          <w:rtl w:val="0"/>
        </w:rPr>
        <w:t xml:space="preserve">cm</w:t>
      </w:r>
      <w:r w:rsidDel="00000000" w:rsidR="00000000" w:rsidRPr="00000000">
        <w:rPr>
          <w:i w:val="1"/>
          <w:vertAlign w:val="superscript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c</w:t>
      </w:r>
      <w:r w:rsidDel="00000000" w:rsidR="00000000" w:rsidRPr="00000000">
        <w:rPr>
          <w:i w:val="1"/>
          <w:vertAlign w:val="superscript"/>
          <w:rtl w:val="0"/>
        </w:rPr>
        <w:t xml:space="preserve">-1</w:t>
      </w:r>
      <w:r w:rsidDel="00000000" w:rsidR="00000000" w:rsidRPr="00000000">
        <w:rPr>
          <w:i w:val="1"/>
          <w:rtl w:val="0"/>
        </w:rPr>
        <w:t xml:space="preserve">)/(σ</w:t>
      </w:r>
      <w:r w:rsidDel="00000000" w:rsidR="00000000" w:rsidRPr="00000000">
        <w:rPr>
          <w:i w:val="1"/>
          <w:vertAlign w:val="subscript"/>
          <w:rtl w:val="0"/>
        </w:rPr>
        <w:t xml:space="preserve">ann</w:t>
      </w:r>
      <w:r w:rsidDel="00000000" w:rsidR="00000000" w:rsidRPr="00000000">
        <w:rPr>
          <w:i w:val="1"/>
          <w:rtl w:val="0"/>
        </w:rPr>
        <w:t xml:space="preserve">ν)</w:t>
      </w:r>
      <w:r w:rsidDel="00000000" w:rsidR="00000000" w:rsidRPr="00000000">
        <w:rPr>
          <w:rtl w:val="0"/>
        </w:rPr>
        <w:t xml:space="preserve">. Среднее сечение аннигиляции, умноженное на скорость для частицы данной массы, имеет максимум, определяемый парциально-волновой унитарностью S-матрицы, (</w:t>
      </w:r>
      <w:r w:rsidDel="00000000" w:rsidR="00000000" w:rsidRPr="00000000">
        <w:rPr>
          <w:i w:val="1"/>
          <w:rtl w:val="0"/>
        </w:rPr>
        <w:t xml:space="preserve">σ</w:t>
      </w:r>
      <w:r w:rsidDel="00000000" w:rsidR="00000000" w:rsidRPr="00000000">
        <w:rPr>
          <w:i w:val="1"/>
          <w:vertAlign w:val="subscript"/>
          <w:rtl w:val="0"/>
        </w:rPr>
        <w:t xml:space="preserve">ann</w:t>
      </w:r>
      <w:r w:rsidDel="00000000" w:rsidR="00000000" w:rsidRPr="00000000">
        <w:rPr>
          <w:i w:val="1"/>
          <w:rtl w:val="0"/>
        </w:rPr>
        <w:t xml:space="preserve">ν)</w:t>
      </w:r>
      <w:r w:rsidDel="00000000" w:rsidR="00000000" w:rsidRPr="00000000">
        <w:rPr>
          <w:i w:val="1"/>
          <w:vertAlign w:val="subscript"/>
          <w:rtl w:val="0"/>
        </w:rPr>
        <w:t xml:space="preserve">max</w:t>
      </w: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 ≈ 1/m</w:t>
      </w:r>
      <w:r w:rsidDel="00000000" w:rsidR="00000000" w:rsidRPr="00000000">
        <w:rPr>
          <w:i w:val="1"/>
          <w:vertAlign w:val="superscript"/>
          <w:rtl w:val="0"/>
        </w:rPr>
        <w:t xml:space="preserve">2</w:t>
      </w:r>
      <w:r w:rsidDel="00000000" w:rsidR="00000000" w:rsidRPr="00000000">
        <w:rPr>
          <w:i w:val="1"/>
          <w:vertAlign w:val="subscript"/>
          <w:rtl w:val="0"/>
        </w:rPr>
        <w:t xml:space="preserve">WIMP</w:t>
      </w:r>
      <w:r w:rsidDel="00000000" w:rsidR="00000000" w:rsidRPr="00000000">
        <w:rPr>
          <w:rtl w:val="0"/>
        </w:rPr>
        <w:t xml:space="preserve">. Требование </w:t>
      </w:r>
      <w:r w:rsidDel="00000000" w:rsidR="00000000" w:rsidRPr="00000000">
        <w:rPr>
          <w:i w:val="1"/>
          <w:rtl w:val="0"/>
        </w:rPr>
        <w:t xml:space="preserve">Ω</w:t>
      </w:r>
      <w:r w:rsidDel="00000000" w:rsidR="00000000" w:rsidRPr="00000000">
        <w:rPr>
          <w:i w:val="1"/>
          <w:vertAlign w:val="subscript"/>
          <w:rtl w:val="0"/>
        </w:rPr>
        <w:t xml:space="preserve">WIMP</w:t>
      </w:r>
      <w:r w:rsidDel="00000000" w:rsidR="00000000" w:rsidRPr="00000000">
        <w:rPr>
          <w:i w:val="1"/>
          <w:rtl w:val="0"/>
        </w:rPr>
        <w:t xml:space="preserve">h</w:t>
      </w:r>
      <w:r w:rsidDel="00000000" w:rsidR="00000000" w:rsidRPr="00000000">
        <w:rPr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 ≤ 1</w:t>
      </w:r>
      <w:r w:rsidDel="00000000" w:rsidR="00000000" w:rsidRPr="00000000">
        <w:rPr>
          <w:rtl w:val="0"/>
        </w:rPr>
        <w:t xml:space="preserve"> соответствует унитарному пределу и приводит к ограничению на массу частиц ТМ </w:t>
      </w:r>
      <w:r w:rsidDel="00000000" w:rsidR="00000000" w:rsidRPr="00000000">
        <w:rPr>
          <w:i w:val="1"/>
          <w:rtl w:val="0"/>
        </w:rPr>
        <w:t xml:space="preserve">m</w:t>
      </w:r>
      <w:r w:rsidDel="00000000" w:rsidR="00000000" w:rsidRPr="00000000">
        <w:rPr>
          <w:i w:val="1"/>
          <w:vertAlign w:val="subscript"/>
          <w:rtl w:val="0"/>
        </w:rPr>
        <w:t xml:space="preserve">WIMP</w:t>
      </w: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 ≤ 340 ТэВ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настоящее время в рамках суперсимметричных моделей рассматривается три основных кандидата в ТМ: нейтралино, гравитино, аксино.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Нейтралино – данная частица, является суперпозицией партнеров нейтральных полей B, W и Xиггса. Данная частица может быть легчайшей среди других суперчастиц и быть стабильной.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Частица гравитино (</w:t>
      </w:r>
      <w:r w:rsidDel="00000000" w:rsidR="00000000" w:rsidRPr="00000000">
        <w:rPr>
          <w:i w:val="1"/>
          <w:rtl w:val="0"/>
        </w:rPr>
        <w:t xml:space="preserve">Ĝ</w:t>
      </w:r>
      <w:r w:rsidDel="00000000" w:rsidR="00000000" w:rsidRPr="00000000">
        <w:rPr>
          <w:rtl w:val="0"/>
        </w:rPr>
        <w:t xml:space="preserve">) предсказывается при суперсимметричных расширениях СМ, включающих гравитацию. Гравитино – майорановская частица со спином 3/2 и четырьмя спиновыми состоянтями (два спиновых состояния гравитино приобретает от голдстино при нарушении суперсимметрии, становясь массивным).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Частица аксино – слабо взаимодействующая частица. Аксино – суперпартнер аксиону (f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&lt; 10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 ГэВ  m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&gt; 0.5 * 10</w:t>
      </w:r>
      <w:r w:rsidDel="00000000" w:rsidR="00000000" w:rsidRPr="00000000">
        <w:rPr>
          <w:vertAlign w:val="superscript"/>
          <w:rtl w:val="0"/>
        </w:rPr>
        <w:t xml:space="preserve">-9</w:t>
      </w:r>
      <w:r w:rsidDel="00000000" w:rsidR="00000000" w:rsidRPr="00000000">
        <w:rPr>
          <w:rtl w:val="0"/>
        </w:rPr>
        <w:t xml:space="preserve"> эВ) со спином 1/2 и соответственно появляется при суперсимметричном расширении СМ, включающем механизм Печей-Куин подавления CP-нарушения в КХД. Суперсимметризация моделей Печей-Куин приводит для моделей SUSY следствиям. Для поля аксиона со спином S=0 (и R-четность R=1) равенство между числами бозонных и фермионных степеней свободы, требуемое суперсимметрией, обеспечивается добавлением майорановского фермиона – аксино (ă) с S=1\2 и R=-1 и скаляра - c-аксиона (с-аксино) с S=0 и R=1. Требование соблюдения симметрии U</w:t>
      </w:r>
      <w:r w:rsidDel="00000000" w:rsidR="00000000" w:rsidRPr="00000000">
        <w:rPr>
          <w:vertAlign w:val="subscript"/>
          <w:rtl w:val="0"/>
        </w:rPr>
        <w:t xml:space="preserve">PQ</w:t>
      </w:r>
      <w:r w:rsidDel="00000000" w:rsidR="00000000" w:rsidRPr="00000000">
        <w:rPr>
          <w:rtl w:val="0"/>
        </w:rPr>
        <w:t xml:space="preserve">(1) не позволяет аксино, также как и самому аксиону, приобретать массу обычным образом за счет нарушения суперсимметрии. Такого запрета не возникает для с-аксиона, и его масса может быть порядка масс обычных суперпартнеров ~ 100 ÷ 1000 ГэВ, возникающих после нарушения SUSY. Масса аксино может варьировать в широких пределах и быть значительно меньше масс других суперпартнеров: m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~ КэВ ÷ ГэВ. Аксино может являться легчайшей суперчастицей и, следовательно, при сохранении R – четности быть стабильной.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Экспериментальная проверка SUSY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Проверка суперсимметричных моделей на ускорителях подразумевает прежде всего обнаружение частиц-суперпартнеров, а также наблюдение и изучение различных явлений (аномальный магнитный момент мюона, физика B-мезонов, феноменология бозона Хиггса и т.п.), объяснение которых предоставляют в частности суперсимметричные расширения СМ.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Исторически первые строгие ограничения на массы скварков и глюино были получены в рамках экспериментов UA1 и UA2 на супер-протонном синхротроне в CERN. Позже более строгие ограничения были установлены в экспериментах на коллайдере LEP. В 2006 году эти ограничения были уточнены в эксперименте D0 на Тэватроне.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Анализ первых данных, полученных в начале работы Большого Адронного Коллайдера (LHC), запущенного в 2009 году, в рамках моделей MSSM (</w:t>
      </w:r>
      <w:hyperlink r:id="rId5">
        <w:r w:rsidDel="00000000" w:rsidR="00000000" w:rsidRPr="00000000">
          <w:rPr>
            <w:highlight w:val="white"/>
            <w:rtl w:val="0"/>
          </w:rPr>
          <w:t xml:space="preserve">минимальная суперсимметричная Стандартная модель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и NUHM1 показал, что если скварки и глюино действительно существуют, то значения их масс находятся в диапазоне 500 – 800 ГэВ, а значения  2.5 ТэВ маловероятны. Нейтралино и слептоны считались достаточно легкими и значения масс этих частиц ожидались в районе 100 – 150 ГэВ.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состоянию на апрель 2013 года, подтверждений существования суперсимметрии в экспериментах на LHC найдено не было. Как следствие были подняты ограничения на массы скварков и глюино, ранее установленные на Тэватроне и LEP. На основании данных, полученных в эксперименте CMS, нижнее ограничение на массу скварков и глюино в MSSM составляет 800 ГэВ.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576763" cy="3457795"/>
            <wp:effectExtent b="0" l="0" r="0" t="0"/>
            <wp:docPr descr="atl15_09.gif" id="1" name="image01.gif"/>
            <a:graphic>
              <a:graphicData uri="http://schemas.openxmlformats.org/drawingml/2006/picture">
                <pic:pic>
                  <pic:nvPicPr>
                    <pic:cNvPr descr="atl15_09.gif" id="0" name="image0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457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15151"/>
          <w:rtl w:val="0"/>
        </w:rPr>
        <w:t xml:space="preserve">Рис.1. Ограничения на массы глюино в зависимости от величины расщепления по массе между глюино и нейтралино в G-модели R-адронов адронов и временем жизни глюино между 10</w:t>
      </w:r>
      <w:r w:rsidDel="00000000" w:rsidR="00000000" w:rsidRPr="00000000">
        <w:rPr>
          <w:color w:val="515151"/>
          <w:vertAlign w:val="superscript"/>
          <w:rtl w:val="0"/>
        </w:rPr>
        <w:t xml:space="preserve">-5</w:t>
      </w:r>
      <w:r w:rsidDel="00000000" w:rsidR="00000000" w:rsidRPr="00000000">
        <w:rPr>
          <w:color w:val="515151"/>
          <w:rtl w:val="0"/>
        </w:rPr>
        <w:t xml:space="preserve">до 10</w:t>
      </w:r>
      <w:r w:rsidDel="00000000" w:rsidR="00000000" w:rsidRPr="00000000">
        <w:rPr>
          <w:color w:val="515151"/>
          <w:vertAlign w:val="superscript"/>
          <w:rtl w:val="0"/>
        </w:rPr>
        <w:t xml:space="preserve">3</w:t>
      </w:r>
      <w:r w:rsidDel="00000000" w:rsidR="00000000" w:rsidRPr="00000000">
        <w:rPr>
          <w:color w:val="515151"/>
          <w:rtl w:val="0"/>
        </w:rPr>
        <w:t xml:space="preserve">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Впрочем, необходимо сделать одно существенно важное замечание: анализ полученных данных проводится в рамках одной конкретной суперсимметричной модели, в данном случае – MSSM. Таким образом, на настоящий момент SUSY исключена лишь в своем минимальном варианте.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Обнаруженный на LHC в 2011-2012 годах бозон Хиггса имеет массу 125 ГэВ и константы связи, согласующиеся со стандартной моделью. MSSM предсказывает, что масса легчайшего бозона Хиггса не должна намного превышать массу Z-бозона и в отсутствие «тонкой настройки» (масштаб нарушения суперсимметрии – 1 ТэВ) не должна превышать 130 ГэВ. Более того, для значений параметра MSSM , бозон Хиггса предсказывается в диапазоне масс ниже 114 ГэВ, однако этот диапазон был ранее исключен данными LEP в начале 2000-ых годов.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Однако, результат, полученный на LHC, содержит в себе определенные трудности для модели MSSM, так как значение массы 125 ГэВ является достаточно большим для этой модели и может быть получено только с учетом больших радиационных поправок от t-скварков. Подобное объяснение выглядит весьма «неестественно». Также в 2012 году на LHC были обнаружены отклонения от предсказанных СМ констант связи бозона Хиггса, что может служить довольно жестким ограничением на MSSM.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Линде А.Д. </w:t>
      </w:r>
      <w:r w:rsidDel="00000000" w:rsidR="00000000" w:rsidRPr="00000000">
        <w:rPr>
          <w:b w:val="1"/>
          <w:i w:val="1"/>
          <w:rtl w:val="0"/>
        </w:rPr>
        <w:t xml:space="preserve">Физика элементарных частиц и инфляционная космология</w:t>
      </w:r>
      <w:r w:rsidDel="00000000" w:rsidR="00000000" w:rsidRPr="00000000">
        <w:rPr>
          <w:b w:val="1"/>
          <w:rtl w:val="0"/>
        </w:rPr>
        <w:t xml:space="preserve"> – М.: Наука, 1990.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Окунь Л.Б. </w:t>
      </w:r>
      <w:r w:rsidDel="00000000" w:rsidR="00000000" w:rsidRPr="00000000">
        <w:rPr>
          <w:b w:val="1"/>
          <w:i w:val="1"/>
          <w:rtl w:val="0"/>
        </w:rPr>
        <w:t xml:space="preserve">Современное состояние и перспективы физики высоких энергий, </w:t>
      </w:r>
      <w:r w:rsidDel="00000000" w:rsidR="00000000" w:rsidRPr="00000000">
        <w:rPr>
          <w:b w:val="1"/>
          <w:rtl w:val="0"/>
        </w:rPr>
        <w:t xml:space="preserve">Успехи Физических Наук, т.134, вып.1, 1981.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Хлопов М.Ю. Основы космомикрофизики. – М:УРСС, 2004.    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Емельянов В.М., Белоцкий К.М. Лекции по основам электрослабой модели и новой физике. – М, 2007. </w:t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Рябов В.А., Царев В.А., Цховребов А.М. Поиски частиц темной материи (2008). УФН. 178, 11. </w:t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Горбунов Д.С., Дубовской С.Л., Троицкий С.В. Калибровочный механизм нарушения</w:t>
        <w:tab/>
        <w:t xml:space="preserve">суперсимметрии (1999). УФН. 169, 7. 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ATLAS Collaboration. Search for supersymmetry in events with photons, bottom quarks, and missing transverse momentum in proton-proton collisions at a centre-of-mass energy of 7 TeV with the ATLAS detector. Phys.Lett. B719 (2013) 261-279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CMS Collaboration. Search for new physics in events with photons, jets, and missing transverse energy in pp collisions at sqrt(s) = 7 TeV. JHEP 03 (2013) 111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M. Carena, H. E. Haber. Higgs Boson Theory and Phenomenology. Prog.Part.Nucl.Phys.50:63-152, 2003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P. Draper, P. Meade, M. Reece, D. Shih. Implications of a 125 GeV Higgs for the MSSM and Low-Scale SUSY Breaking. PhysRevD.85.095007 (2011) [arXiv:1112.3068]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b w:val="1"/>
          <w:i w:val="1"/>
          <w:rtl w:val="0"/>
        </w:rPr>
        <w:t xml:space="preserve">A.C.Kraan, Eur.Phys.J. C37 (2004) 91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b w:val="1"/>
          <w:i w:val="1"/>
          <w:rtl w:val="0"/>
        </w:rPr>
        <w:t xml:space="preserve">R.Mackeprang, A.Rizzi, Eur.Phys.J. C50 (2007) 353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ru.wikipedia.org/w/index.php?title=%D0%9C%D0%B8%D0%BD%D0%B8%D0%BC%D0%B0%D0%BB%D1%8C%D0%BD%D0%B0%D1%8F_%D1%81%D1%83%D0%BF%D0%B5%D1%80%D1%81%D0%B8%D0%BC%D0%BC%D0%B5%D1%82%D1%80%D0%B8%D1%87%D0%BD%D0%B0%D1%8F_%D0%A1%D1%82%D0%B0%D0%BD%D0%B4%D0%B0%D1%80%D1%82%D0%BD%D0%B0%D1%8F_%D0%BC%D0%BE%D0%B4%D0%B5%D0%BB%D1%8C&amp;action=edit&amp;redlink=1" TargetMode="External"/><Relationship Id="rId6" Type="http://schemas.openxmlformats.org/officeDocument/2006/relationships/image" Target="media/image0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