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Министерство образования и науки Российской Федерации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Федеральное государственное автономное образовательное учреждение высшего профессионального образования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«НАЦИОНАЛЬНЫЙ ИССЛЕДОВАТЕЛЬСКИЙ ЯДЕРНЫЙ УНИВЕРСИТЕТ «МИФИ»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Кафедра №40 «Физика элементарных частиц»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9324"/>
        </w:tabs>
        <w:spacing w:lineRule="auto" w:line="360"/>
        <w:ind w:firstLine="851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Реферат по теме:</w:t>
      </w:r>
    </w:p>
    <w:p w:rsidP="00000000" w:rsidRPr="00000000" w:rsidR="00000000" w:rsidDel="00000000" w:rsidRDefault="00000000">
      <w:pPr>
        <w:tabs>
          <w:tab w:val="left" w:pos="9324"/>
        </w:tabs>
        <w:spacing w:lineRule="auto" w:line="360"/>
        <w:ind w:firstLine="851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«Теневой мир с двумя поколениями фермионов»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457"/>
          <w:tab w:val="right" w:pos="9349"/>
        </w:tabs>
        <w:spacing w:lineRule="auto" w:line="360"/>
        <w:ind w:left="3600" w:firstLine="72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                 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Группа: Т09-4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0</w:t>
      </w:r>
    </w:p>
    <w:p w:rsidP="00000000" w:rsidRPr="00000000" w:rsidR="00000000" w:rsidDel="00000000" w:rsidRDefault="00000000">
      <w:pPr>
        <w:tabs>
          <w:tab w:val="left" w:pos="7457"/>
          <w:tab w:val="right" w:pos="9349"/>
        </w:tabs>
        <w:spacing w:lineRule="auto" w:line="36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Выполнила:</w:t>
      </w: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 Бородихина Л.А.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457"/>
          <w:tab w:val="right" w:pos="9349"/>
        </w:tabs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457"/>
          <w:tab w:val="right" w:pos="9349"/>
        </w:tabs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457"/>
          <w:tab w:val="right" w:pos="9349"/>
        </w:tabs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457"/>
          <w:tab w:val="right" w:pos="9349"/>
        </w:tabs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457"/>
          <w:tab w:val="right" w:pos="9349"/>
        </w:tabs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Москва 2014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28"/>
          <w:rtl w:val="0"/>
        </w:rPr>
        <w:t xml:space="preserve">Содержание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contextualSpacing w:val="1"/>
        <w:rPr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Введение..................................................................................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contextualSpacing w:val="1"/>
        <w:rPr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Описание модели....................................................................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contextualSpacing w:val="1"/>
        <w:rPr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Построение модели................................................................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contextualSpacing w:val="1"/>
        <w:rPr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Анализ результатов.................................................................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contextualSpacing w:val="1"/>
        <w:rPr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Заключение..............................................................................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line="360"/>
        <w:ind w:left="720" w:hanging="359"/>
        <w:contextualSpacing w:val="1"/>
        <w:rPr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mallCaps w:val="0"/>
          <w:sz w:val="28"/>
          <w:rtl w:val="0"/>
        </w:rPr>
        <w:t xml:space="preserve">Список литературы.................................................................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36"/>
          <w:u w:val="single"/>
          <w:rtl w:val="0"/>
        </w:rPr>
        <w:t xml:space="preserve">Введение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ab/>
        <w:t xml:space="preserve"> </w:t>
        <w:tab/>
        <w:t xml:space="preserve"> </w:t>
        <w:tab/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“Зеркальный” или “теневой” мир – представляет собой скрытый сектор Вселенной. Понятие о зеркальных частицах и зеркальной материи было впервые введено Ли и Янгом для объяснения предполагаемого нарушения  Р-четности в процессах слабого взаимодействия.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Нарушение пространственной четности приводит к неэквивалентности левых и правых координат. В результате чего становятся возможны переходы от левой координатной системы к правой, что отвечает зеркальному отображению процесса. Таким образом, несохранение Р-четности приводит к процессам, которые не существуют в природе. Также нарушение пространственной четности указывает на то, что у пространства-времени имеется некая предпочтительная ориентация.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Для восстановления эквивалентности левого и правого Ли и Янгом было предположено существование зеркальных партнеров для всех известных частиц. Так, на основе идеи о СР-инвариантности, античастицы были отождествлены как зеркальные партнеры обычных частиц. Однако открытие СР-нарушения  выявило ошибочность этого выбор.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В 1966 Кобзарев, Померанчук и Окунь показали, что зеркальные частицы не могут принимать участия в тех же взаимодействиях, что и привычные частицы. Таким образом частицы определенной зеркальности являются стерильными по отношению к взаимодействиям другой зеркальности.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В настоящее время предполагается, что зеркальные и обычные частицы могут взаимодействовать друг с другом за счет кинетического смешивания фотонов и гравитационного взаимодействия. Также предполагается, что зеркальный и обычный мир идентичны не полностью, и строение зеркального мира может быть отличным от строения привычного мира. В этом случае зеркальный мир называется “теневым” миром.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u w:val="single"/>
          <w:rtl w:val="0"/>
        </w:rPr>
        <w:t xml:space="preserve">Ц</w:t>
      </w:r>
      <w:r w:rsidRPr="00000000" w:rsidR="00000000" w:rsidDel="00000000">
        <w:rPr>
          <w:rFonts w:cs="Times New Roman" w:hAnsi="Times New Roman" w:eastAsia="Times New Roman" w:ascii="Times New Roman"/>
          <w:b w:val="1"/>
          <w:smallCaps w:val="0"/>
          <w:sz w:val="36"/>
          <w:u w:val="single"/>
          <w:rtl w:val="0"/>
        </w:rPr>
        <w:t xml:space="preserve">ель работы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Рассматривается модель теневого мира с двумя поколениями фермионов, существующего помимо обычного мира. Дается оценка космологических эффектов, позволяющих проверить достоверность модели.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360"/>
        <w:ind w:left="720" w:hanging="359"/>
        <w:contextualSpacing w:val="1"/>
        <w:jc w:val="center"/>
        <w:rPr>
          <w:rFonts w:cs="Times New Roman" w:hAnsi="Times New Roman" w:eastAsia="Times New Roman" w:ascii="Times New Roman"/>
          <w:b w:val="1"/>
          <w:sz w:val="36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u w:val="single"/>
          <w:rtl w:val="0"/>
        </w:rPr>
        <w:t xml:space="preserve"> Модель теневого мира 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Предполагается, что во Вселенной присутствуют как обычные частицы, так и теневое вещество. Причем, все виды взаимодействий и свойства  частиц обоих типов одинаковы.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Предположим, что существует теневой мир с двумя поколениями фермионов. Пусть значения масс фермионов и их соотношения для теневого мира совпадают: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color w:val="00000a"/>
          <w:sz w:val="36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𝓂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e </w:t>
      </w:r>
      <m:oMath>
        <m:r>
          <m:t>≃</m:t>
        </m:r>
      </m:oMath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e 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= 0.5 MeV;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color w:val="00000a"/>
          <w:sz w:val="36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𝓂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𝝁 </w:t>
      </w:r>
      <m:oMath>
        <m:r>
          <m:t>≃</m:t>
        </m:r>
      </m:oMath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𝝁 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= 105,6 MeV;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color w:val="00000a"/>
          <w:sz w:val="36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𝓂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u </w:t>
      </w:r>
      <m:oMath>
        <m:r>
          <m:t>≃</m:t>
        </m:r>
      </m:oMath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u 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= 2.3 MeV;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color w:val="00000a"/>
          <w:sz w:val="36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𝓂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d </w:t>
      </w:r>
      <m:oMath>
        <m:r>
          <m:t>≃</m:t>
        </m:r>
      </m:oMath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d 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= 4.8 GeV;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color w:val="00000a"/>
          <w:sz w:val="36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𝓂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c </w:t>
      </w:r>
      <m:oMath>
        <m:r>
          <m:t>≃</m:t>
        </m:r>
      </m:oMath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c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= 1.25 GeV;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color w:val="00000a"/>
          <w:sz w:val="36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𝓂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s </w:t>
      </w:r>
      <m:oMath>
        <m:r>
          <m:t>≃</m:t>
        </m:r>
      </m:oMath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bscript"/>
          <w:rtl w:val="0"/>
        </w:rPr>
        <w:t xml:space="preserve">s 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= 95 MeV;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Также считаем, что в теневом мире существуют безмассовые теневые фотоны, глюоны, а также бозоны слабого взаимодействия с массами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color w:val="00000a"/>
          <w:sz w:val="36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𝒲</w:t>
      </w:r>
      <m:oMath>
        <m:r>
          <m:t>±</m:t>
        </m:r>
      </m:oMath>
      <m:oMath>
        <m:r>
          <m:t>≃</m:t>
        </m:r>
      </m:oMath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 W</w:t>
      </w:r>
      <m:oMath>
        <m:r>
          <m:t>±</m:t>
        </m:r>
      </m:oMath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= 80.4 MeV;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color w:val="00000a"/>
          <w:sz w:val="36"/>
        </w:rPr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𝓩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perscript"/>
          <w:rtl w:val="0"/>
        </w:rPr>
        <w:t xml:space="preserve">0</w:t>
      </w:r>
      <m:oMath>
        <m:r>
          <m:t>≃</m:t>
        </m:r>
      </m:oMath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Z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vertAlign w:val="superscript"/>
          <w:rtl w:val="0"/>
        </w:rPr>
        <w:t xml:space="preserve">0</w:t>
      </w:r>
      <w:r w:rsidRPr="00000000" w:rsidR="00000000" w:rsidDel="00000000">
        <w:rPr>
          <w:rFonts w:cs="Times New Roman" w:hAnsi="Times New Roman" w:eastAsia="Times New Roman" w:ascii="Times New Roman"/>
          <w:color w:val="00000a"/>
          <w:sz w:val="36"/>
          <w:rtl w:val="0"/>
        </w:rPr>
        <w:t xml:space="preserve">= 91.2 MeV;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Считаем, что в теневом мире возможны переходы между фермионами первого и второго поколений, зависящие лишь от угла смешивания 𝞡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с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- аналогичного углу Кабибо в СМ. Таким образом, из-за отсутствия в модели третьего поколения фермионов, обеспечивающего СР-нарушение, в зеркальном мире </w:t>
        <w:tab/>
        <w:t xml:space="preserve"> избыток теневой барионной материи не образуется, так как не выполняются все условия Сахарова. 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Одним из возможных механизмов генерации барионной асимметрии является механизм, предложенный Аффлеком и Дайном[]. Для того, чтобы барионное вещество могло генерироваться в теневом мире по средством этого механизма, необходимо введение супер-симметричных партнеров теневых частиц.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Предположим, что в теневом мире супер-симметрия нарушена так же, как и в обычном мире, тогда массы частиц супер-партнеров примем[]: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✦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ϰ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0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i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= 46 GeV;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✦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ϰ</w:t>
      </w:r>
      <m:oMath>
        <m:r>
          <m:t>±</m:t>
        </m:r>
      </m:oMath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i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= 94 GeV;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✦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e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= 73  GeV;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✦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𝞵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= 94 GeV;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✦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q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= 379 GeV;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Так же предполагаем, что в теневом мире присутствуют теневые нейтрино, обладающие следующими свойствами: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𝝂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e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s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: m = 35 eV, 𝛕 = 10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8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лет;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𝝂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bscript"/>
          <w:rtl w:val="0"/>
        </w:rPr>
        <w:t xml:space="preserve">𝜇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s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 : m = 90 eV, 𝛕 = 10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superscript"/>
          <w:rtl w:val="0"/>
        </w:rPr>
        <w:t xml:space="preserve">9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лет;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u w:val="single"/>
          <w:rtl w:val="0"/>
        </w:rPr>
        <w:t xml:space="preserve"> 2. Инфляция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рамках модели хаотической инфляции, предложенной Линде, начальные амплитуды инфлатонов могут быть разными, что приводит к образованию доменной структуры в распределении зеркального и обычного вещества.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Предполагаем, что инфлатон не имеет определенной зеркальности. Тогда после инфляции рождается равное количество обычных и теневых частиц.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Бариогенезис осуществляется  по средством механизма Аффлека-Дайна.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 xml:space="preserve"> </w:t>
        <w:tab/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u w:val="single"/>
          <w:rtl w:val="0"/>
        </w:rPr>
        <w:t xml:space="preserve">3. Нуклеосинтез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Оба сектора должны были иметь различные начальные условия формирования, чтобы избежать конфликта с общепринятой моделью первичного нуклеосинтеза (BBN). BBN ограничивает эффективное число сортов легких нейтрино, а также дает отношение температур S- (теневого) и О-секторов (обычное наблюдаемое вещество Вселенной):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48"/>
          <w:rtl w:val="0"/>
        </w:rPr>
        <w:t xml:space="preserve">x=</w:t>
      </w:r>
      <m:oMath>
        <m:f>
          <m:fPr>
            <m:ctrlPr>
              <w:rPr>
                <w:rFonts w:cs="Times New Roman" w:hAnsi="Times New Roman" w:eastAsia="Times New Roman" w:ascii="Times New Roman"/>
                <w:sz w:val="48"/>
              </w:rPr>
            </m:ctrlPr>
          </m:fPr>
          <m:num>
            <m:r>
              <w:rPr>
                <w:rFonts w:cs="Times New Roman" w:hAnsi="Times New Roman" w:eastAsia="Times New Roman" w:ascii="Times New Roman"/>
                <w:sz w:val="48"/>
              </w:rPr>
              <m:t xml:space="preserve">T`</m:t>
            </m:r>
          </m:num>
          <m:den>
            <m:r>
              <w:rPr>
                <w:rFonts w:cs="Times New Roman" w:hAnsi="Times New Roman" w:eastAsia="Times New Roman" w:ascii="Times New Roman"/>
                <w:sz w:val="48"/>
              </w:rPr>
              <m:t xml:space="preserve">T</m:t>
            </m:r>
          </m:den>
        </m:f>
      </m:oMath>
      <m:oMath>
        <m:r>
          <m:t>≤</m:t>
        </m:r>
      </m:oMath>
      <w:r w:rsidRPr="00000000" w:rsidR="00000000" w:rsidDel="00000000">
        <w:rPr>
          <w:rFonts w:cs="Times New Roman" w:hAnsi="Times New Roman" w:eastAsia="Times New Roman" w:ascii="Times New Roman"/>
          <w:sz w:val="48"/>
          <w:rtl w:val="0"/>
        </w:rPr>
        <w:t xml:space="preserve">0.64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Для получения таких результатов должны выполняться следующие условия: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После Большого Взрыва обе системы рождаются с различными температурами, причем: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48"/>
          <w:rtl w:val="0"/>
        </w:rPr>
        <w:t xml:space="preserve">Т</w:t>
      </w:r>
      <w:r w:rsidRPr="00000000" w:rsidR="00000000" w:rsidDel="00000000">
        <w:rPr>
          <w:rFonts w:cs="Times New Roman" w:hAnsi="Times New Roman" w:eastAsia="Times New Roman" w:ascii="Times New Roman"/>
          <w:sz w:val="48"/>
          <w:vertAlign w:val="subscript"/>
          <w:rtl w:val="0"/>
        </w:rPr>
        <w:t xml:space="preserve">S</w:t>
      </w:r>
      <m:oMath>
        <m:r>
          <w:rPr>
            <w:rFonts w:cs="Times New Roman" w:hAnsi="Times New Roman" w:eastAsia="Times New Roman" w:ascii="Times New Roman"/>
            <w:sz w:val="48"/>
          </w:rPr>
          <m:t xml:space="preserve">&lt;</m:t>
        </m:r>
      </m:oMath>
      <w:r w:rsidRPr="00000000" w:rsidR="00000000" w:rsidDel="00000000">
        <w:rPr>
          <w:rFonts w:cs="Times New Roman" w:hAnsi="Times New Roman" w:eastAsia="Times New Roman" w:ascii="Times New Roman"/>
          <w:sz w:val="48"/>
          <w:vertAlign w:val="subscript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48"/>
          <w:rtl w:val="0"/>
        </w:rPr>
        <w:t xml:space="preserve">Т</w:t>
      </w:r>
      <w:r w:rsidRPr="00000000" w:rsidR="00000000" w:rsidDel="00000000">
        <w:rPr>
          <w:rFonts w:cs="Times New Roman" w:hAnsi="Times New Roman" w:eastAsia="Times New Roman" w:ascii="Times New Roman"/>
          <w:sz w:val="48"/>
          <w:vertAlign w:val="subscript"/>
          <w:rtl w:val="0"/>
        </w:rPr>
        <w:t xml:space="preserve">о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Обе системы взаимодействую очень слабо и не находятся в состоянии термодинамического равновесия друг с другом;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360"/>
        <w:ind w:left="720" w:hanging="359"/>
        <w:contextualSpacing w:val="1"/>
        <w:jc w:val="both"/>
        <w:rPr>
          <w:rFonts w:cs="Times New Roman" w:hAnsi="Times New Roman" w:eastAsia="Times New Roman" w:ascii="Times New Roman"/>
          <w:sz w:val="28"/>
        </w:rPr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Оба сектора расширяются адиабатически;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Оценим эффекты зеркальных частиц на параметры первичного космологического нуклеосинтеза.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Эпоха первичного нуклеосинтеза начинается с температур </w:t>
      </w:r>
      <m:oMath>
        <m:r>
          <m:t>∼</m:t>
        </m:r>
        <m:r>
          <w:rPr>
            <w:rFonts w:cs="Times New Roman" w:hAnsi="Times New Roman" w:eastAsia="Times New Roman" w:ascii="Times New Roman"/>
            <w:sz w:val="28"/>
          </w:rPr>
          <m:t xml:space="preserve">1MeV</m:t>
        </m:r>
      </m:oMath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и продолжается до температур </w:t>
      </w:r>
      <m:oMath>
        <m:r>
          <m:t>∼</m:t>
        </m:r>
        <m:r>
          <w:rPr>
            <w:rFonts w:cs="Times New Roman" w:hAnsi="Times New Roman" w:eastAsia="Times New Roman" w:ascii="Times New Roman"/>
            <w:sz w:val="28"/>
          </w:rPr>
          <m:t xml:space="preserve">10 keV</m:t>
        </m:r>
      </m:oMath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. В это время нейтроны, входившие в состав космической плазмы, объединяются с протонами в легкие ядра.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Время свободного пробега: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 𝜏</w:t>
      </w:r>
      <m:oMath>
        <m:r>
          <m:t>∼</m:t>
        </m:r>
      </m:oMath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[G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f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5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]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С другой стороны: 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 𝜏</w:t>
      </w:r>
      <m:oMath>
        <m:r>
          <m:t>∼</m:t>
        </m:r>
      </m:oMath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H(t)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-1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Где: </w:t>
      </w:r>
      <m:oMath/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H(t)=0.5t</w:t>
      </w:r>
      <m:oMath>
        <m:r>
          <m:t>∼</m:t>
        </m:r>
      </m:oMath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G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1/2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𝒩 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1/2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T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Тогда получим: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Т </w:t>
      </w:r>
      <m:oMath>
        <m:r>
          <m:t>∼</m:t>
        </m:r>
      </m:oMath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G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f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-2/3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G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1/6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𝒩 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1/6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∝𝒩 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⅙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𝒩  = 𝒩 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о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+ 𝒩 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, где: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contextualSpacing w:val="1"/>
        <w:jc w:val="center"/>
        <w:rPr>
          <w:rFonts w:cs="Times New Roman" w:hAnsi="Times New Roman" w:eastAsia="Times New Roman" w:ascii="Times New Roman"/>
          <w:sz w:val="36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𝒩 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о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= 2 + ⅞(2*2 + 2*3) = 43/4  - число релятивистских степеней свободы для обычного вещества;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360"/>
        <w:ind w:left="720" w:hanging="359"/>
        <w:contextualSpacing w:val="1"/>
        <w:jc w:val="center"/>
        <w:rPr>
          <w:rFonts w:cs="Times New Roman" w:hAnsi="Times New Roman" w:eastAsia="Times New Roman" w:ascii="Times New Roman"/>
          <w:sz w:val="36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𝒩 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s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= 2 + ⅞(2*2 + 2*2) = 36/4  - число релятивистских степеней свободы для теневого вещества;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В итоге получаем: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𝒩  = 79/4;</w:t>
      </w:r>
    </w:p>
    <w:p w:rsidP="00000000" w:rsidRPr="00000000" w:rsidR="00000000" w:rsidDel="00000000" w:rsidRDefault="00000000">
      <w:pPr>
        <w:spacing w:lineRule="auto" w:line="36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И теперь можем записать выражение для n/p-отношения при условии существования двух миров: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(n/p) = e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-∆m/T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(n/p) = e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-∆m(𝒩 о /(𝒩 s+𝒩 о))⅙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=  e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-0.544∆m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;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(n/p) = 0.57;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Оценим содержание первичного гелия при наличии теневого мира: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(Y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s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= </w:t>
      </w:r>
      <m:oMath>
        <m:f>
          <m:fPr>
            <m:ctrlPr>
              <w:rPr>
                <w:rFonts w:cs="Times New Roman" w:hAnsi="Times New Roman" w:eastAsia="Times New Roman" w:ascii="Times New Roman"/>
                <w:sz w:val="36"/>
              </w:rPr>
            </m:ctrlPr>
          </m:fPr>
          <m:num>
            <m:r>
              <w:rPr>
                <w:rFonts w:cs="Times New Roman" w:hAnsi="Times New Roman" w:eastAsia="Times New Roman" w:ascii="Times New Roman"/>
                <w:sz w:val="36"/>
              </w:rPr>
              <m:t xml:space="preserve">2*(n/p)</m:t>
            </m:r>
          </m:num>
          <m:den>
            <m:r>
              <w:rPr>
                <w:rFonts w:cs="Times New Roman" w:hAnsi="Times New Roman" w:eastAsia="Times New Roman" w:ascii="Times New Roman"/>
                <w:sz w:val="36"/>
              </w:rPr>
              <m:t xml:space="preserve">1+(n/p)</m:t>
            </m:r>
          </m:den>
        </m:f>
      </m:oMath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= 0.72;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настоящее время оценки  распространенности первичного гелия дают: Y&lt;0.25.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Полученное значение доли первичного гелия в предлагаемой модели не согласуется с наблюдаемыми данными, таким образом исключается однородная смесь из теневого и обычного вещества.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Вычислим температуру закалки нейтрон-протонного соотношения для теневого мира: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Т =(1.2×M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Pl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✳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×G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F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)</w:t>
      </w:r>
      <m:oMath>
        <m:f>
          <m:fPr>
            <m:ctrlPr>
              <w:rPr>
                <w:rFonts w:cs="Times New Roman" w:hAnsi="Times New Roman" w:eastAsia="Times New Roman" w:ascii="Times New Roman"/>
                <w:sz w:val="36"/>
                <w:vertAlign w:val="superscript"/>
              </w:rPr>
            </m:ctrlPr>
          </m:fPr>
          <m:num>
            <m:r>
              <w:rPr>
                <w:rFonts w:cs="Times New Roman" w:hAnsi="Times New Roman" w:eastAsia="Times New Roman" w:ascii="Times New Roman"/>
                <w:sz w:val="36"/>
                <w:vertAlign w:val="superscript"/>
              </w:rPr>
              <m:t xml:space="preserve">1</m:t>
            </m:r>
          </m:num>
          <m:den>
            <m:r>
              <w:rPr>
                <w:rFonts w:cs="Times New Roman" w:hAnsi="Times New Roman" w:eastAsia="Times New Roman" w:ascii="Times New Roman"/>
                <w:sz w:val="36"/>
                <w:vertAlign w:val="superscript"/>
              </w:rPr>
              <m:t xml:space="preserve">3</m:t>
            </m:r>
          </m:den>
        </m:f>
      </m:oMath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;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M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Pl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perscript"/>
          <w:rtl w:val="0"/>
        </w:rPr>
        <w:t xml:space="preserve">✳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= </w:t>
      </w:r>
      <m:oMath>
        <m:f>
          <m:fPr>
            <m:ctrlPr>
              <w:rPr>
                <w:rFonts w:cs="Times New Roman" w:hAnsi="Times New Roman" w:eastAsia="Times New Roman" w:ascii="Times New Roman"/>
                <w:sz w:val="36"/>
              </w:rPr>
            </m:ctrlPr>
          </m:fPr>
          <m:num>
            <m:r>
              <w:rPr>
                <w:rFonts w:cs="Times New Roman" w:hAnsi="Times New Roman" w:eastAsia="Times New Roman" w:ascii="Times New Roman"/>
                <w:sz w:val="36"/>
              </w:rPr>
              <m:t xml:space="preserve">Mₚₗ</m:t>
            </m:r>
          </m:num>
          <m:den>
            <m:r>
              <w:rPr>
                <w:rFonts w:cs="Times New Roman" w:hAnsi="Times New Roman" w:eastAsia="Times New Roman" w:ascii="Times New Roman"/>
                <w:sz w:val="36"/>
              </w:rPr>
              <m:t xml:space="preserve">1.66×</m:t>
            </m:r>
            <m:rad>
              <m:radPr>
                <m:degHide m:val="1"/>
                <m:ctrlPr>
                  <w:rPr>
                    <w:rFonts w:cs="Times New Roman" w:hAnsi="Times New Roman" w:eastAsia="Times New Roman" w:ascii="Times New Roman"/>
                    <w:sz w:val="36"/>
                  </w:rPr>
                </m:ctrlPr>
              </m:radPr>
              <m:e/>
            </m:rad>
            <m:r>
              <w:rPr>
                <w:rFonts w:cs="Times New Roman" w:hAnsi="Times New Roman" w:eastAsia="Times New Roman" w:ascii="Times New Roman"/>
                <w:sz w:val="36"/>
              </w:rPr>
              <m:t xml:space="preserve">𝒩Nₛ</m:t>
            </m:r>
          </m:den>
        </m:f>
      </m:oMath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Для теневого мира :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𝒩 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s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= 2 + ⅞(2*2 + 2*2) = 36/4,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тогда температура закалки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 T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s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 = 0.79 MeV.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Тогда: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(n/p)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S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 = 0.27;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И оценка содержания первично гелия в теневом мире дает: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(Y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He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)</w:t>
      </w: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s </w:t>
      </w:r>
      <w:r w:rsidRPr="00000000" w:rsidR="00000000" w:rsidDel="00000000">
        <w:rPr>
          <w:rFonts w:cs="Times New Roman" w:hAnsi="Times New Roman" w:eastAsia="Times New Roman" w:ascii="Times New Roman"/>
          <w:sz w:val="36"/>
          <w:rtl w:val="0"/>
        </w:rPr>
        <w:t xml:space="preserve">= 0.43;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u w:val="single"/>
          <w:rtl w:val="0"/>
        </w:rPr>
        <w:t xml:space="preserve">Список литературы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 Хлопов </w:t>
        <w:tab/>
        <w:t xml:space="preserve">М.Ю., «Основы космомикрофизики», М.:УРСС, </w:t>
        <w:tab/>
        <w:t xml:space="preserve">2010;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С. Вайнберг, «Космология», М.:УРСС, 2013;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L.B. Okun ,Mirror particles and mirror matter: 50 years of speculation and search, </w:t>
      </w:r>
      <w:r w:rsidRPr="00000000" w:rsidR="00000000" w:rsidDel="00000000">
        <w:rPr>
          <w:rFonts w:cs="Arial" w:hAnsi="Arial" w:eastAsia="Arial" w:ascii="Arial"/>
          <w:sz w:val="28"/>
          <w:highlight w:val="white"/>
          <w:rtl w:val="0"/>
        </w:rPr>
        <w:t xml:space="preserve">Phys.Usp.50:380-389,2007;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Z.G. Berezhiani, A.D. Dolgov, R.N. Mohaparta, Asymmetric Inflationary Reheating and the Nature of Mirror Universe, </w:t>
      </w:r>
      <w:r w:rsidRPr="00000000" w:rsidR="00000000" w:rsidDel="00000000">
        <w:rPr>
          <w:rFonts w:cs="Arial" w:hAnsi="Arial" w:eastAsia="Arial" w:ascii="Arial"/>
          <w:sz w:val="28"/>
          <w:highlight w:val="white"/>
          <w:rtl w:val="0"/>
        </w:rPr>
        <w:t xml:space="preserve">Phys.Lett.B375:26-36,1996;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</w:rPr>
      </w:pPr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Z.G. Berezhiani, </w:t>
      </w:r>
      <w:r w:rsidRPr="00000000" w:rsidR="00000000" w:rsidDel="00000000">
        <w:rPr>
          <w:rFonts w:cs="Arial" w:hAnsi="Arial" w:eastAsia="Arial" w:ascii="Arial"/>
          <w:b w:val="0"/>
          <w:color w:val="000000"/>
          <w:sz w:val="28"/>
          <w:highlight w:val="white"/>
          <w:rtl w:val="0"/>
        </w:rPr>
        <w:t xml:space="preserve">The Early Mirror Universe: Inflation, Baryogenesis, Nucleosynthesis and Dark Matter, Phys.Lett.B503:362-375,2001;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  <w:highlight w:val="white"/>
        </w:rPr>
      </w:pPr>
      <w:r w:rsidRPr="00000000" w:rsidR="00000000" w:rsidDel="00000000">
        <w:rPr>
          <w:rFonts w:cs="Arial" w:hAnsi="Arial" w:eastAsia="Arial" w:ascii="Arial"/>
          <w:sz w:val="28"/>
          <w:highlight w:val="white"/>
          <w:rtl w:val="0"/>
        </w:rPr>
        <w:t xml:space="preserve">Eric </w:t>
        <w:tab/>
        <w:t xml:space="preserve">D. Carlson and S. L. Glashow,Nucleosynthesis versus the mirror Universe, </w:t>
        <w:tab/>
        <w:t xml:space="preserve">Phys. Lett. </w:t>
        <w:tab/>
        <w:t xml:space="preserve">B193 (1987) 168-170;</w:t>
        <w:tab/>
        <w:t xml:space="preserve"> </w:t>
        <w:tab/>
        <w:t xml:space="preserve"> </w:t>
        <w:tab/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  <w:highlight w:val="white"/>
        </w:rPr>
      </w:pPr>
      <w:r w:rsidRPr="00000000" w:rsidR="00000000" w:rsidDel="00000000">
        <w:rPr>
          <w:rFonts w:cs="Arial" w:hAnsi="Arial" w:eastAsia="Arial" w:ascii="Arial"/>
          <w:b w:val="0"/>
          <w:color w:val="000000"/>
          <w:sz w:val="28"/>
          <w:rtl w:val="0"/>
        </w:rPr>
        <w:t xml:space="preserve">Z.G. Berezhiani, </w:t>
      </w:r>
      <w:r w:rsidRPr="00000000" w:rsidR="00000000" w:rsidDel="00000000">
        <w:rPr>
          <w:rFonts w:cs="Arial" w:hAnsi="Arial" w:eastAsia="Arial" w:ascii="Arial"/>
          <w:b w:val="0"/>
          <w:color w:val="000000"/>
          <w:sz w:val="28"/>
          <w:highlight w:val="white"/>
          <w:rtl w:val="0"/>
        </w:rPr>
        <w:t xml:space="preserve">Mirror World and its Cosmological Consequences, Int. J. Mod. Phys. A19:3775-3806, 2004;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  <w:highlight w:val="white"/>
        </w:rPr>
      </w:pPr>
      <w:r w:rsidRPr="00000000" w:rsidR="00000000" w:rsidDel="00000000">
        <w:rPr>
          <w:rFonts w:cs="Arial" w:hAnsi="Arial" w:eastAsia="Arial" w:ascii="Arial"/>
          <w:b w:val="0"/>
          <w:color w:val="000000"/>
          <w:sz w:val="28"/>
          <w:highlight w:val="white"/>
          <w:rtl w:val="0"/>
        </w:rPr>
        <w:t xml:space="preserve">Cosmology with mirror dark matter II: Cosmic Microwave Background and Large Scale Structure,</w:t>
      </w:r>
      <w:r w:rsidRPr="00000000" w:rsidR="00000000" w:rsidDel="00000000">
        <w:rPr>
          <w:rFonts w:cs="Arial" w:hAnsi="Arial" w:eastAsia="Arial" w:ascii="Arial"/>
          <w:color w:val="000000"/>
          <w:sz w:val="28"/>
          <w:highlight w:val="whit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8"/>
          <w:highlight w:val="white"/>
          <w:rtl w:val="0"/>
        </w:rPr>
        <w:t xml:space="preserve">arXiv:astro-ph/0409633</w:t>
      </w:r>
      <w:r w:rsidRPr="00000000" w:rsidR="00000000" w:rsidDel="00000000">
        <w:rPr>
          <w:rFonts w:cs="Arial" w:hAnsi="Arial" w:eastAsia="Arial" w:ascii="Arial"/>
          <w:b w:val="0"/>
          <w:color w:val="000000"/>
          <w:sz w:val="28"/>
          <w:highlight w:val="white"/>
          <w:rtl w:val="0"/>
        </w:rPr>
        <w:t xml:space="preserve">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  <w:highlight w:val="white"/>
        </w:rPr>
      </w:pPr>
      <w:r w:rsidRPr="00000000" w:rsidR="00000000" w:rsidDel="00000000">
        <w:rPr>
          <w:rFonts w:cs="Arial" w:hAnsi="Arial" w:eastAsia="Arial" w:ascii="Arial"/>
          <w:sz w:val="28"/>
          <w:highlight w:val="white"/>
          <w:rtl w:val="0"/>
        </w:rPr>
        <w:t xml:space="preserve">Hitoshi  Murayama, SUPERSYMMETRY PHENOMENOLOGY, arhXiv:hep-ph/000222;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360"/>
        <w:ind w:left="720" w:hanging="359"/>
        <w:contextualSpacing w:val="1"/>
        <w:jc w:val="both"/>
        <w:rPr>
          <w:rFonts w:cs="Arial" w:hAnsi="Arial" w:eastAsia="Arial" w:ascii="Arial"/>
          <w:sz w:val="28"/>
          <w:highlight w:val="white"/>
        </w:rPr>
      </w:pPr>
      <w:r w:rsidRPr="00000000" w:rsidR="00000000" w:rsidDel="00000000">
        <w:rPr>
          <w:rFonts w:cs="Arial" w:hAnsi="Arial" w:eastAsia="Arial" w:ascii="Arial"/>
          <w:sz w:val="28"/>
          <w:highlight w:val="white"/>
          <w:rtl w:val="0"/>
        </w:rPr>
        <w:t xml:space="preserve">Csaba Bal´azs, Anupam Mazumdar, Ernestas Pukartase, Graham White, Baryogenesis, dark matter and inflation in the Next-to-Minimal Supersymmetric Standard Model, arXiv:1309.5091;</w:t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545.0" w:type="dxa"/>
        <w:jc w:val="left"/>
        <w:tblLayout w:type="fixed"/>
        <w:tblLook w:val="0600"/>
      </w:tblPr>
      <w:tblGrid>
        <w:gridCol w:w="1545"/>
        <w:tblGridChange w:id="0">
          <w:tblGrid>
            <w:gridCol w:w="1545"/>
          </w:tblGrid>
        </w:tblGridChange>
      </w:tblGrid>
      <w:tr>
        <w:tc>
          <w:tcPr>
            <w:tcMar>
              <w:top w:w="20.0" w:type="dxa"/>
              <w:left w:w="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2100.0" w:type="dxa"/>
        <w:jc w:val="left"/>
        <w:tblLayout w:type="fixed"/>
        <w:tblLook w:val="0600"/>
      </w:tblPr>
      <w:tblGrid>
        <w:gridCol w:w="2100"/>
        <w:tblGridChange w:id="0">
          <w:tblGrid>
            <w:gridCol w:w="2100"/>
          </w:tblGrid>
        </w:tblGridChange>
      </w:tblGrid>
      <w:tr>
        <w:trPr>
          <w:trHeight w:val="240" w:hRule="atLeast"/>
        </w:trPr>
        <w:tc>
          <w:tcPr>
            <w:tcMar>
              <w:top w:w="20.0" w:type="dxa"/>
              <w:left w:w="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3255.0" w:type="dxa"/>
        <w:jc w:val="left"/>
        <w:tblLayout w:type="fixed"/>
        <w:tblLook w:val="0600"/>
      </w:tblPr>
      <w:tblGrid>
        <w:gridCol w:w="3255"/>
        <w:tblGridChange w:id="0">
          <w:tblGrid>
            <w:gridCol w:w="3255"/>
          </w:tblGrid>
        </w:tblGridChange>
      </w:tblGrid>
      <w:tr>
        <w:trPr>
          <w:trHeight w:val="980" w:hRule="atLeast"/>
        </w:trPr>
        <w:tc>
          <w:tcPr>
            <w:tcMar>
              <w:top w:w="20.0" w:type="dxa"/>
              <w:left w:w="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pStyle w:val="Heading1"/>
        <w:spacing w:lineRule="auto" w:after="240" w:line="288" w:before="240"/>
        <w:contextualSpacing w:val="0"/>
        <w:jc w:val="both"/>
      </w:pPr>
      <w:bookmarkStart w:id="0" w:colFirst="0" w:name="h.rsu4859rd7m8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36"/>
          <w:vertAlign w:val="subscript"/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1701" w:right="850" w:top="1134" w:bottom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1"/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18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25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32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before="480"/>
      <w:contextualSpacing w:val="1"/>
    </w:pPr>
    <w:rPr>
      <w:rFonts w:cs="Calibri" w:hAnsi="Calibri" w:eastAsia="Calibri" w:ascii="Calibri"/>
      <w:b w:val="1"/>
      <w:smallCaps w:val="0"/>
      <w:color w:val="345a8a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before="200"/>
      <w:contextualSpacing w:val="1"/>
    </w:pPr>
    <w:rPr>
      <w:rFonts w:cs="Calibri" w:hAnsi="Calibri" w:eastAsia="Calibri" w:ascii="Calibri"/>
      <w:b w:val="1"/>
      <w:smallCaps w:val="0"/>
      <w:color w:val="4f81bd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before="200"/>
      <w:contextualSpacing w:val="1"/>
    </w:pPr>
    <w:rPr>
      <w:rFonts w:cs="Calibri" w:hAnsi="Calibri" w:eastAsia="Calibri" w:ascii="Calibri"/>
      <w:b w:val="1"/>
      <w:smallCaps w:val="0"/>
      <w:color w:val="4f81bd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before="200"/>
      <w:contextualSpacing w:val="1"/>
    </w:pPr>
    <w:rPr>
      <w:rFonts w:cs="Calibri" w:hAnsi="Calibri" w:eastAsia="Calibri" w:ascii="Calibri"/>
      <w:b w:val="1"/>
      <w:i w:val="1"/>
      <w:smallCaps w:val="0"/>
      <w:color w:val="4f81bd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before="200"/>
      <w:contextualSpacing w:val="1"/>
    </w:pPr>
    <w:rPr>
      <w:rFonts w:cs="Calibri" w:hAnsi="Calibri" w:eastAsia="Calibri" w:ascii="Calibri"/>
      <w:smallCaps w:val="0"/>
      <w:color w:val="243f60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Referat_2_fermions4ver.odt.docx</dc:title>
</cp:coreProperties>
</file>